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20" w:after="40"/>
      </w:pPr>
      <w:r>
        <w:rPr>
          <w:rFonts w:ascii="Arial" w:hAnsi="Arial"/>
          <w:b/>
          <w:color w:val="222222"/>
          <w:sz w:val="44"/>
        </w:rPr>
        <w:t>Privacy Collection Notice</w:t>
      </w:r>
    </w:p>
    <w:p>
      <w:pPr>
        <w:spacing w:after="140"/>
      </w:pPr>
      <w:r>
        <w:rPr>
          <w:rFonts w:ascii="Arial" w:hAnsi="Arial"/>
          <w:b/>
          <w:color w:val="D71920"/>
          <w:sz w:val="20"/>
        </w:rPr>
        <w:t>Hub Real Estate Pty Ltd trading as Elders Real Estate Chinchilla, Miles &amp; Roma</w:t>
      </w:r>
    </w:p>
    <w:tbl>
      <w:tblPr>
        <w:tblW w:type="auto" w:w="0"/>
        <w:jc w:val="center"/>
        <w:tblLayout w:type="autofit"/>
        <w:tblLook w:firstColumn="1" w:firstRow="1" w:lastColumn="0" w:lastRow="0" w:noHBand="0" w:noVBand="1" w:val="04A0"/>
      </w:tblPr>
      <w:tblGrid>
        <w:gridCol w:w="5083"/>
        <w:gridCol w:w="5083"/>
      </w:tblGrid>
      <w:tr>
        <w:tc>
          <w:tcPr>
            <w:tcW w:type="dxa" w:w="5083"/>
            <w:shd w:fill="D71920"/>
            <w:vAlign w:val="center"/>
            <w:tcMar>
              <w:top w:w="100" w:type="dxa"/>
              <w:start w:w="120" w:type="dxa"/>
              <w:bottom w:w="100" w:type="dxa"/>
              <w:end w:w="120" w:type="dxa"/>
            </w:tcMar>
          </w:tcPr>
          <w:p>
            <w:pPr>
              <w:spacing w:after="0" w:line="252" w:lineRule="auto"/>
            </w:pPr>
            <w:r>
              <w:rPr>
                <w:rFonts w:ascii="Arial" w:hAnsi="Arial"/>
                <w:b/>
                <w:color w:val="FFFFFF"/>
                <w:sz w:val="18"/>
              </w:rPr>
              <w:t>ABN / Address</w:t>
            </w:r>
          </w:p>
        </w:tc>
        <w:tc>
          <w:tcPr>
            <w:tcW w:type="dxa" w:w="5083"/>
            <w:shd w:fill="FFFFFF"/>
            <w:vAlign w:val="center"/>
            <w:tcMar>
              <w:top w:w="100" w:type="dxa"/>
              <w:start w:w="120" w:type="dxa"/>
              <w:bottom w:w="100" w:type="dxa"/>
              <w:end w:w="120" w:type="dxa"/>
            </w:tcMar>
          </w:tcPr>
          <w:p>
            <w:pPr>
              <w:spacing w:after="0" w:line="252" w:lineRule="auto"/>
            </w:pPr>
            <w:r>
              <w:rPr>
                <w:rFonts w:ascii="Arial" w:hAnsi="Arial"/>
                <w:color w:val="222222"/>
                <w:sz w:val="18"/>
              </w:rPr>
              <w:t>50 143 254 522 | Chinchilla: 69 Heeney Street, Chinchilla QLD 4413 | 07 4669 1966</w:t>
              <w:br/>
              <w:t>Miles: 105 Murilla Street, Miles QLD 4415 | 07 4627 2217</w:t>
              <w:br/>
              <w:t>Roma: 91 McDowall Street, Roma QLD 4455 | 07 4622 2688</w:t>
            </w:r>
          </w:p>
        </w:tc>
      </w:tr>
      <w:tr>
        <w:tc>
          <w:tcPr>
            <w:tcW w:type="dxa" w:w="5083"/>
            <w:shd w:fill="D71920"/>
            <w:vAlign w:val="center"/>
            <w:tcMar>
              <w:top w:w="100" w:type="dxa"/>
              <w:start w:w="120" w:type="dxa"/>
              <w:bottom w:w="100" w:type="dxa"/>
              <w:end w:w="120" w:type="dxa"/>
            </w:tcMar>
          </w:tcPr>
          <w:p>
            <w:pPr>
              <w:spacing w:after="0" w:line="252" w:lineRule="auto"/>
            </w:pPr>
            <w:r>
              <w:rPr>
                <w:rFonts w:ascii="Arial" w:hAnsi="Arial"/>
                <w:b/>
                <w:color w:val="FFFFFF"/>
                <w:sz w:val="18"/>
              </w:rPr>
              <w:t>Privacy contact</w:t>
            </w:r>
          </w:p>
        </w:tc>
        <w:tc>
          <w:tcPr>
            <w:tcW w:type="dxa" w:w="5083"/>
            <w:shd w:fill="F3F3F3"/>
            <w:vAlign w:val="center"/>
            <w:tcMar>
              <w:top w:w="100" w:type="dxa"/>
              <w:start w:w="120" w:type="dxa"/>
              <w:bottom w:w="100" w:type="dxa"/>
              <w:end w:w="120" w:type="dxa"/>
            </w:tcMar>
          </w:tcPr>
          <w:p>
            <w:pPr>
              <w:spacing w:after="0" w:line="252" w:lineRule="auto"/>
            </w:pPr>
            <w:r>
              <w:rPr>
                <w:rFonts w:ascii="Arial" w:hAnsi="Arial"/>
                <w:color w:val="222222"/>
                <w:sz w:val="18"/>
              </w:rPr>
              <w:t>jon.kingston@eldersrealestate.com.au</w:t>
            </w:r>
          </w:p>
        </w:tc>
      </w:tr>
    </w:tbl>
    <w:p>
      <w:r>
        <w:t>This notice explains the main privacy matters you should know when we collect personal information. It should be read with our full Privacy Policy.</w:t>
      </w:r>
    </w:p>
    <w:p>
      <w:pPr>
        <w:pStyle w:val="Heading1"/>
        <w:spacing w:before="120" w:after="40"/>
      </w:pPr>
      <w:r>
        <w:rPr>
          <w:rFonts w:ascii="Arial" w:hAnsi="Arial"/>
          <w:b/>
          <w:color w:val="D71920"/>
          <w:sz w:val="23"/>
        </w:rPr>
        <w:t>What we collect</w:t>
      </w:r>
    </w:p>
    <w:p>
      <w:r>
        <w:t>Depending on your dealings with us, we may collect contact and identity details, property and transaction information, rental application and tenancy information, employment and income information, bank or payment information, references, communications, signatures, photographs and other information reasonably needed to provide our real estate services.</w:t>
      </w:r>
    </w:p>
    <w:p>
      <w:pPr>
        <w:pStyle w:val="Heading1"/>
        <w:spacing w:before="120" w:after="40"/>
      </w:pPr>
      <w:r>
        <w:rPr>
          <w:rFonts w:ascii="Arial" w:hAnsi="Arial"/>
          <w:b/>
          <w:color w:val="D71920"/>
          <w:sz w:val="23"/>
        </w:rPr>
        <w:t>Why we collect it</w:t>
      </w:r>
    </w:p>
    <w:p>
      <w:r>
        <w:t>We collect personal information to provide and administer sales, leasing, property management, appraisals, inspections, tenancy applications, transactions, trust accounting, maintenance, marketing and related services; to verify identity; to meet legal obligations; and to operate and secure our business.</w:t>
      </w:r>
    </w:p>
    <w:p>
      <w:pPr>
        <w:pStyle w:val="Heading1"/>
        <w:spacing w:before="120" w:after="40"/>
      </w:pPr>
      <w:r>
        <w:rPr>
          <w:rFonts w:ascii="Arial" w:hAnsi="Arial"/>
          <w:b/>
          <w:color w:val="D71920"/>
          <w:sz w:val="23"/>
        </w:rPr>
        <w:t>If you do not provide information</w:t>
      </w:r>
    </w:p>
    <w:p>
      <w:r>
        <w:t>We may be unable to assess an application, verify identity, enter into or administer an appointment or tenancy, complete a transaction, arrange services or otherwise provide the requested service.</w:t>
      </w:r>
    </w:p>
    <w:p>
      <w:pPr>
        <w:pStyle w:val="Heading1"/>
        <w:spacing w:before="120" w:after="40"/>
      </w:pPr>
      <w:r>
        <w:rPr>
          <w:rFonts w:ascii="Arial" w:hAnsi="Arial"/>
          <w:b/>
          <w:color w:val="D71920"/>
          <w:sz w:val="23"/>
        </w:rPr>
        <w:t>Who we may disclose it to</w:t>
      </w:r>
    </w:p>
    <w:p>
      <w:r>
        <w:t>Where reasonably necessary, we may disclose information to owners, applicants, tenants, vendors, purchasers, professional advisers, contractors, government bodies and technology/service providers. Key systems include PropertyMe, Agentbox Sales CRM, Microsoft Outlook/Microsoft 365, Google/Gmail, REIQ Realworks and Livesign.</w:t>
      </w:r>
    </w:p>
    <w:p>
      <w:pPr>
        <w:pStyle w:val="Heading1"/>
        <w:spacing w:before="120" w:after="40"/>
      </w:pPr>
      <w:r>
        <w:rPr>
          <w:rFonts w:ascii="Arial" w:hAnsi="Arial"/>
          <w:b/>
          <w:color w:val="D71920"/>
          <w:sz w:val="23"/>
        </w:rPr>
        <w:t>Overseas disclosure</w:t>
      </w:r>
    </w:p>
    <w:p>
      <w:r>
        <w:t>Some technology providers use overseas infrastructure or subprocessors. Likely locations currently include the United States of America and the United Kingdom; global cloud services may also process information in other jurisdictions. Current details are available from our Privacy Officer on request.</w:t>
      </w:r>
    </w:p>
    <w:p>
      <w:pPr>
        <w:pStyle w:val="Heading1"/>
        <w:spacing w:before="120" w:after="40"/>
      </w:pPr>
      <w:r>
        <w:rPr>
          <w:rFonts w:ascii="Arial" w:hAnsi="Arial"/>
          <w:b/>
          <w:color w:val="D71920"/>
          <w:sz w:val="23"/>
        </w:rPr>
        <w:t>Access, correction, complaints and marketing</w:t>
      </w:r>
    </w:p>
    <w:p>
      <w:r>
        <w:t>Our Privacy Policy explains how to request access or correction and how to make a privacy complaint. Where permitted by law, we may send property or service-related marketing; you may opt out at any time. Contact the Privacy Officer at jon.kingston@eldersrealestate.com.au, or contact any of our Chinchilla, Miles or Roma offices using the details above.</w:t>
      </w:r>
    </w:p>
    <w:p>
      <w:pPr>
        <w:pStyle w:val="Heading1"/>
        <w:spacing w:before="120" w:after="40"/>
      </w:pPr>
      <w:r>
        <w:rPr>
          <w:rFonts w:ascii="Arial" w:hAnsi="Arial"/>
          <w:b/>
          <w:color w:val="D71920"/>
          <w:sz w:val="23"/>
        </w:rPr>
        <w:t>More information</w:t>
      </w:r>
    </w:p>
    <w:p>
      <w:r>
        <w:t>Our full Privacy Policy is available from our office or website. A more specific collection notice provided with a particular form or process should be read together with this notice and the Privacy Policy.</w:t>
      </w:r>
    </w:p>
    <w:sectPr w:rsidR="00FC693F" w:rsidRPr="0006063C" w:rsidSect="00034616">
      <w:footerReference w:type="default" r:id="rId9"/>
      <w:headerReference w:type="default" r:id="rId10"/>
      <w:pgSz w:w="12240" w:h="15840"/>
      <w:pgMar w:top="964" w:right="1247" w:bottom="907"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5"/>
      </w:rPr>
      <w:t>Hub Real Estate Pty Ltd | ABN 50 143 254 522 | Elders Real Estate Chinchilla, Miles &amp; Roma</w:t>
      <w:br/>
    </w:r>
    <w:r>
      <w:rPr>
        <w:rFonts w:ascii="Arial" w:hAnsi="Arial"/>
        <w:b/>
        <w:color w:val="D71920"/>
        <w:sz w:val="15"/>
      </w:rPr>
      <w:t>Chinchilla | Miles | Roma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8787" w:val="left"/>
      </w:tabs>
      <w:jc w:val="left"/>
      <w:pBdr>
        <w:bottom w:val="single" w:sz="16" w:space="5" w:color="D71920"/>
      </w:pBdr>
    </w:pPr>
    <w:r>
      <w:rPr>
        <w:rFonts w:ascii="Arial" w:hAnsi="Arial"/>
        <w:b/>
        <w:color w:val="D71920"/>
        <w:sz w:val="40"/>
      </w:rPr>
      <w:t>elders</w:t>
    </w:r>
    <w:r>
      <w:rPr>
        <w:rFonts w:ascii="Arial" w:hAnsi="Arial"/>
        <w:b/>
        <w:color w:val="222222"/>
        <w:sz w:val="17"/>
      </w:rPr>
      <w:t xml:space="preserve">  REAL ESTATE</w:t>
    </w:r>
    <w:r>
      <w:rPr>
        <w:rFonts w:ascii="Arial" w:hAnsi="Arial"/>
        <w:color w:val="666666"/>
        <w:sz w:val="17"/>
      </w:rPr>
      <w:tab/>
      <w:t>COLLECTION NOTICE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color w:val="22222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rial" w:hAnsi="Arial"/>
      <w:b/>
      <w:bCs/>
      <w:color w:val="D71920"/>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D7192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6F482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