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20" w:after="40"/>
        <w:jc w:val="left"/>
      </w:pPr>
      <w:r>
        <w:rPr>
          <w:rFonts w:ascii="Arial" w:hAnsi="Arial"/>
          <w:b/>
          <w:color w:val="222222"/>
          <w:sz w:val="48"/>
        </w:rPr>
        <w:t>Privacy Policy</w:t>
      </w:r>
    </w:p>
    <w:p>
      <w:pPr>
        <w:spacing w:after="240"/>
        <w:jc w:val="left"/>
      </w:pPr>
      <w:r>
        <w:rPr>
          <w:rFonts w:ascii="Arial" w:hAnsi="Arial"/>
          <w:b/>
          <w:color w:val="D71920"/>
          <w:sz w:val="20"/>
        </w:rPr>
        <w:t>Hub Real Estate Pty Ltd trading as Elders Real Estate Chinchilla, Miles &amp; Roma</w:t>
      </w:r>
    </w:p>
    <w:tbl>
      <w:tblPr>
        <w:tblW w:type="auto" w:w="0"/>
        <w:jc w:val="center"/>
        <w:tblLayout w:type="autofit"/>
        <w:tblLook w:firstColumn="1" w:firstRow="1" w:lastColumn="0" w:lastRow="0" w:noHBand="0" w:noVBand="1" w:val="04A0"/>
      </w:tblPr>
      <w:tblGrid>
        <w:gridCol w:w="2448"/>
        <w:gridCol w:w="8064"/>
      </w:tblGrid>
      <w:tr>
        <w:tc>
          <w:tcPr>
            <w:tcW w:type="dxa" w:w="2448"/>
            <w:shd w:fill="D71920"/>
            <w:tcMar>
              <w:top w:w="100" w:type="dxa"/>
              <w:start w:w="120" w:type="dxa"/>
              <w:bottom w:w="100" w:type="dxa"/>
              <w:end w:w="120" w:type="dxa"/>
            </w:tcMar>
            <w:vAlign w:val="center"/>
          </w:tcPr>
          <w:p>
            <w:pPr>
              <w:spacing w:after="0" w:line="252" w:lineRule="auto"/>
            </w:pPr>
            <w:r>
              <w:rPr>
                <w:rFonts w:ascii="Arial" w:hAnsi="Arial"/>
                <w:b/>
                <w:color w:val="FFFFFF"/>
                <w:sz w:val="18"/>
              </w:rPr>
              <w:t>Entity</w:t>
            </w:r>
          </w:p>
        </w:tc>
        <w:tc>
          <w:tcPr>
            <w:tcW w:type="dxa" w:w="8064"/>
            <w:tcMar>
              <w:top w:w="100" w:type="dxa"/>
              <w:start w:w="120" w:type="dxa"/>
              <w:bottom w:w="100" w:type="dxa"/>
              <w:end w:w="120" w:type="dxa"/>
            </w:tcMar>
            <w:vAlign w:val="center"/>
          </w:tcPr>
          <w:p>
            <w:pPr>
              <w:spacing w:after="0" w:line="252" w:lineRule="auto"/>
            </w:pPr>
            <w:r>
              <w:rPr>
                <w:rFonts w:ascii="Arial" w:hAnsi="Arial"/>
                <w:color w:val="222222"/>
                <w:sz w:val="18"/>
              </w:rPr>
              <w:t>Hub Real Estate Pty Ltd</w:t>
            </w:r>
          </w:p>
        </w:tc>
      </w:tr>
      <w:tr>
        <w:tc>
          <w:tcPr>
            <w:tcW w:type="dxa" w:w="2448"/>
            <w:shd w:fill="D71920"/>
            <w:tcMar>
              <w:top w:w="100" w:type="dxa"/>
              <w:start w:w="120" w:type="dxa"/>
              <w:bottom w:w="100" w:type="dxa"/>
              <w:end w:w="120" w:type="dxa"/>
            </w:tcMar>
            <w:vAlign w:val="center"/>
          </w:tcPr>
          <w:p>
            <w:pPr>
              <w:spacing w:after="0" w:line="252" w:lineRule="auto"/>
            </w:pPr>
            <w:r>
              <w:rPr>
                <w:rFonts w:ascii="Arial" w:hAnsi="Arial"/>
                <w:b/>
                <w:color w:val="FFFFFF"/>
                <w:sz w:val="18"/>
              </w:rPr>
              <w:t>ABN</w:t>
            </w:r>
          </w:p>
        </w:tc>
        <w:tc>
          <w:tcPr>
            <w:tcW w:type="dxa" w:w="8064"/>
            <w:tcMar>
              <w:top w:w="100" w:type="dxa"/>
              <w:start w:w="120" w:type="dxa"/>
              <w:bottom w:w="100" w:type="dxa"/>
              <w:end w:w="120" w:type="dxa"/>
            </w:tcMar>
            <w:vAlign w:val="center"/>
            <w:shd w:fill="F3F3F3"/>
          </w:tcPr>
          <w:p>
            <w:pPr>
              <w:spacing w:after="0" w:line="252" w:lineRule="auto"/>
            </w:pPr>
            <w:r>
              <w:rPr>
                <w:rFonts w:ascii="Arial" w:hAnsi="Arial"/>
                <w:color w:val="222222"/>
                <w:sz w:val="18"/>
              </w:rPr>
              <w:t>50 143 254 522</w:t>
            </w:r>
          </w:p>
        </w:tc>
      </w:tr>
      <w:tr>
        <w:tc>
          <w:tcPr>
            <w:tcW w:type="dxa" w:w="2448"/>
            <w:shd w:fill="D71920"/>
            <w:tcMar>
              <w:top w:w="100" w:type="dxa"/>
              <w:start w:w="120" w:type="dxa"/>
              <w:bottom w:w="100" w:type="dxa"/>
              <w:end w:w="120" w:type="dxa"/>
            </w:tcMar>
            <w:vAlign w:val="center"/>
          </w:tcPr>
          <w:p>
            <w:pPr>
              <w:spacing w:after="0" w:line="252" w:lineRule="auto"/>
            </w:pPr>
            <w:r>
              <w:rPr>
                <w:rFonts w:ascii="Arial" w:hAnsi="Arial"/>
                <w:b/>
                <w:color w:val="FFFFFF"/>
                <w:sz w:val="18"/>
              </w:rPr>
              <w:t>Trading name</w:t>
            </w:r>
          </w:p>
        </w:tc>
        <w:tc>
          <w:tcPr>
            <w:tcW w:type="dxa" w:w="8064"/>
            <w:tcMar>
              <w:top w:w="100" w:type="dxa"/>
              <w:start w:w="120" w:type="dxa"/>
              <w:bottom w:w="100" w:type="dxa"/>
              <w:end w:w="120" w:type="dxa"/>
            </w:tcMar>
            <w:vAlign w:val="center"/>
          </w:tcPr>
          <w:p>
            <w:pPr>
              <w:spacing w:after="0" w:line="252" w:lineRule="auto"/>
            </w:pPr>
            <w:r>
              <w:rPr>
                <w:rFonts w:ascii="Arial" w:hAnsi="Arial"/>
                <w:color w:val="222222"/>
                <w:sz w:val="18"/>
              </w:rPr>
              <w:t>Elders Real Estate Chinchilla, Miles &amp; Roma</w:t>
            </w:r>
          </w:p>
        </w:tc>
      </w:tr>
      <w:tr>
        <w:tc>
          <w:tcPr>
            <w:tcW w:type="dxa" w:w="2448"/>
            <w:shd w:fill="D71920"/>
            <w:tcMar>
              <w:top w:w="100" w:type="dxa"/>
              <w:start w:w="120" w:type="dxa"/>
              <w:bottom w:w="100" w:type="dxa"/>
              <w:end w:w="120" w:type="dxa"/>
            </w:tcMar>
            <w:vAlign w:val="center"/>
          </w:tcPr>
          <w:p>
            <w:pPr>
              <w:spacing w:after="0" w:line="252" w:lineRule="auto"/>
            </w:pPr>
            <w:r>
              <w:rPr>
                <w:rFonts w:ascii="Arial" w:hAnsi="Arial"/>
                <w:b/>
                <w:color w:val="FFFFFF"/>
                <w:sz w:val="18"/>
              </w:rPr>
              <w:t>Address</w:t>
            </w:r>
          </w:p>
        </w:tc>
        <w:tc>
          <w:tcPr>
            <w:tcW w:type="dxa" w:w="8064"/>
            <w:tcMar>
              <w:top w:w="100" w:type="dxa"/>
              <w:start w:w="120" w:type="dxa"/>
              <w:bottom w:w="100" w:type="dxa"/>
              <w:end w:w="120" w:type="dxa"/>
            </w:tcMar>
            <w:vAlign w:val="center"/>
            <w:shd w:fill="F3F3F3"/>
          </w:tcPr>
          <w:p>
            <w:pPr>
              <w:spacing w:after="0" w:line="252" w:lineRule="auto"/>
            </w:pPr>
            <w:r>
              <w:rPr>
                <w:rFonts w:ascii="Arial" w:hAnsi="Arial"/>
                <w:color w:val="222222"/>
                <w:sz w:val="18"/>
              </w:rPr>
              <w:t>Chinchilla: 69 Heeney Street, Chinchilla QLD 4413 | 07 4669 1966</w:t>
              <w:br/>
              <w:t>Miles: 105 Murilla Street, Miles QLD 4415 | 07 4627 2217</w:t>
              <w:br/>
              <w:t>Roma: 91 McDowall Street, Roma QLD 4455 | 07 4622 2688</w:t>
            </w:r>
          </w:p>
        </w:tc>
      </w:tr>
      <w:tr>
        <w:tc>
          <w:tcPr>
            <w:tcW w:type="dxa" w:w="2448"/>
            <w:shd w:fill="D71920"/>
            <w:tcMar>
              <w:top w:w="100" w:type="dxa"/>
              <w:start w:w="120" w:type="dxa"/>
              <w:bottom w:w="100" w:type="dxa"/>
              <w:end w:w="120" w:type="dxa"/>
            </w:tcMar>
            <w:vAlign w:val="center"/>
          </w:tcPr>
          <w:p>
            <w:pPr>
              <w:spacing w:after="0" w:line="252" w:lineRule="auto"/>
            </w:pPr>
            <w:r>
              <w:rPr>
                <w:rFonts w:ascii="Arial" w:hAnsi="Arial"/>
                <w:b/>
                <w:color w:val="FFFFFF"/>
                <w:sz w:val="18"/>
              </w:rPr>
              <w:t>Effective date</w:t>
            </w:r>
          </w:p>
        </w:tc>
        <w:tc>
          <w:tcPr>
            <w:tcW w:type="dxa" w:w="8064"/>
            <w:tcMar>
              <w:top w:w="100" w:type="dxa"/>
              <w:start w:w="120" w:type="dxa"/>
              <w:bottom w:w="100" w:type="dxa"/>
              <w:end w:w="120" w:type="dxa"/>
            </w:tcMar>
            <w:vAlign w:val="center"/>
          </w:tcPr>
          <w:p>
            <w:pPr>
              <w:spacing w:after="0" w:line="252" w:lineRule="auto"/>
            </w:pPr>
            <w:r>
              <w:rPr>
                <w:rFonts w:ascii="Arial" w:hAnsi="Arial"/>
                <w:color w:val="222222"/>
                <w:sz w:val="18"/>
              </w:rPr>
              <w:t>11 August 2026</w:t>
            </w:r>
          </w:p>
        </w:tc>
      </w:tr>
      <w:tr>
        <w:tc>
          <w:tcPr>
            <w:tcW w:type="dxa" w:w="2448"/>
            <w:shd w:fill="D71920"/>
            <w:tcMar>
              <w:top w:w="100" w:type="dxa"/>
              <w:start w:w="120" w:type="dxa"/>
              <w:bottom w:w="100" w:type="dxa"/>
              <w:end w:w="120" w:type="dxa"/>
            </w:tcMar>
            <w:vAlign w:val="center"/>
          </w:tcPr>
          <w:p>
            <w:pPr>
              <w:spacing w:after="0" w:line="252" w:lineRule="auto"/>
            </w:pPr>
            <w:r>
              <w:rPr>
                <w:rFonts w:ascii="Arial" w:hAnsi="Arial"/>
                <w:b/>
                <w:color w:val="FFFFFF"/>
                <w:sz w:val="18"/>
              </w:rPr>
              <w:t>Privacy contact</w:t>
            </w:r>
          </w:p>
        </w:tc>
        <w:tc>
          <w:tcPr>
            <w:tcW w:type="dxa" w:w="8064"/>
            <w:tcMar>
              <w:top w:w="100" w:type="dxa"/>
              <w:start w:w="120" w:type="dxa"/>
              <w:bottom w:w="100" w:type="dxa"/>
              <w:end w:w="120" w:type="dxa"/>
            </w:tcMar>
            <w:vAlign w:val="center"/>
            <w:shd w:fill="F3F3F3"/>
          </w:tcPr>
          <w:p>
            <w:pPr>
              <w:spacing w:after="0" w:line="252" w:lineRule="auto"/>
            </w:pPr>
            <w:r>
              <w:rPr>
                <w:rFonts w:ascii="Arial" w:hAnsi="Arial"/>
                <w:color w:val="222222"/>
                <w:sz w:val="18"/>
              </w:rPr>
              <w:t>jon.kingston@eldersrealestate.com.au</w:t>
            </w:r>
          </w:p>
        </w:tc>
      </w:tr>
    </w:tbl>
    <w:p/>
    <w:p>
      <w:pPr>
        <w:pStyle w:val="Heading1"/>
      </w:pPr>
      <w:r>
        <w:t>1. Purpose and scope</w:t>
      </w:r>
    </w:p>
    <w:p>
      <w:r>
        <w:t>Hub Real Estate Pty Ltd trading as Elders Real Estate Chinchilla, Miles &amp; Roma (Hub Real Estate, we, us or our) respects the privacy of the people we deal with and is committed to responsible handling of personal information. This policy explains how we collect, hold, use and disclose personal information in connection with our real estate sales, property management, leasing, rural, lifestyle and commercial activities, and our related business operations.</w:t>
      </w:r>
    </w:p>
    <w:p>
      <w:r>
        <w:t>We operate as an independently owned Elders Real Estate franchise. This policy applies to Hub Real Estate. Elders Limited and other Elders entities may have their own privacy policies that apply when those entities collect or handle personal information directly.</w:t>
      </w:r>
    </w:p>
    <w:p>
      <w:r>
        <w:t>We seek to comply with the Privacy Act 1988 (Cth) and the Australian Privacy Principles (APPs) where they apply to us, and we use the APPs as the standard for our privacy practices more generally.</w:t>
      </w:r>
    </w:p>
    <w:p>
      <w:pPr>
        <w:pStyle w:val="Heading1"/>
      </w:pPr>
      <w:r>
        <w:t>2. The kinds of personal information we may collect</w:t>
      </w:r>
    </w:p>
    <w:p>
      <w:r>
        <w:t>The information we collect depends on the nature of your dealings with us. It may include:</w:t>
      </w:r>
    </w:p>
    <w:p>
      <w:pPr>
        <w:pStyle w:val="ListBullet"/>
        <w:spacing w:after="40"/>
      </w:pPr>
      <w:r>
        <w:t>name, postal and residential address, telephone number, email address and other contact details;</w:t>
      </w:r>
    </w:p>
    <w:p>
      <w:pPr>
        <w:pStyle w:val="ListBullet"/>
        <w:spacing w:after="40"/>
      </w:pPr>
      <w:r>
        <w:t>date of birth and identity information, including driver licence, passport or other identification details where reasonably necessary;</w:t>
      </w:r>
    </w:p>
    <w:p>
      <w:pPr>
        <w:pStyle w:val="ListBullet"/>
        <w:spacing w:after="40"/>
      </w:pPr>
      <w:r>
        <w:t>property ownership, property address, appraisal, sales, leasing and property management information;</w:t>
      </w:r>
    </w:p>
    <w:p>
      <w:pPr>
        <w:pStyle w:val="ListBullet"/>
        <w:spacing w:after="40"/>
      </w:pPr>
      <w:r>
        <w:t>rental application, tenancy, occupancy, rental history, references and referee information;</w:t>
      </w:r>
    </w:p>
    <w:p>
      <w:pPr>
        <w:pStyle w:val="ListBullet"/>
        <w:spacing w:after="40"/>
      </w:pPr>
      <w:r>
        <w:t>employment, income and financial information relevant to a tenancy, transaction, trust accounting or other service;</w:t>
      </w:r>
    </w:p>
    <w:p>
      <w:pPr>
        <w:pStyle w:val="ListBullet"/>
        <w:spacing w:after="40"/>
      </w:pPr>
      <w:r>
        <w:t>bank account, rent, deposit, disbursement and payment information;</w:t>
      </w:r>
    </w:p>
    <w:p>
      <w:pPr>
        <w:pStyle w:val="ListBullet"/>
        <w:spacing w:after="40"/>
      </w:pPr>
      <w:r>
        <w:t>maintenance, inspection, condition report, repair, contractor and insurance-related information;</w:t>
      </w:r>
    </w:p>
    <w:p>
      <w:pPr>
        <w:pStyle w:val="ListBullet"/>
        <w:spacing w:after="40"/>
      </w:pPr>
      <w:r>
        <w:t>photographs, video, signatures, correspondence and records of communications;</w:t>
      </w:r>
    </w:p>
    <w:p>
      <w:pPr>
        <w:pStyle w:val="ListBullet"/>
        <w:spacing w:after="40"/>
      </w:pPr>
      <w:r>
        <w:t>marketing preferences, appraisal requests, property enquiries and CRM activity;</w:t>
      </w:r>
    </w:p>
    <w:p>
      <w:pPr>
        <w:pStyle w:val="ListBullet"/>
        <w:spacing w:after="40"/>
      </w:pPr>
      <w:r>
        <w:t>information about contractors, suppliers, job applicants and employees; and</w:t>
      </w:r>
    </w:p>
    <w:p>
      <w:pPr>
        <w:pStyle w:val="ListBullet"/>
        <w:spacing w:after="40"/>
      </w:pPr>
      <w:r>
        <w:t>technical information generated through websites and digital services, such as device, browser, IP address, cookie and usage information.</w:t>
      </w:r>
    </w:p>
    <w:p>
      <w:r>
        <w:t>We may collect sensitive information where it is reasonably necessary for our functions and permitted by law. Where consent is required, we will seek it before collecting or using that information.</w:t>
      </w:r>
    </w:p>
    <w:p>
      <w:pPr>
        <w:pStyle w:val="Heading1"/>
      </w:pPr>
      <w:r>
        <w:t>3. How we collect personal information</w:t>
      </w:r>
    </w:p>
    <w:p>
      <w:r>
        <w:t>We may collect personal information directly from you when you contact us, request an appraisal, inspect or enquire about property, apply for a tenancy, list or manage a property, buy or sell property, complete an agreement or form, communicate with our team, use our website or digital services, apply for employment, or otherwise deal with our business.</w:t>
      </w:r>
    </w:p>
    <w:p>
      <w:r>
        <w:t>We may also collect information from third parties where this is lawful and reasonably necessary, including owners, tenants, prospective tenants, employers, referees, other agents, solicitors, conveyancers, valuers, contractors, property portals, government agencies, publicly available databases, identity or verification providers and technology service providers.</w:t>
      </w:r>
    </w:p>
    <w:p>
      <w:r>
        <w:t>Where reasonable and practicable, you may deal with us anonymously or by using a pseudonym. This may not be possible where we need to verify identity, enter into or administer a transaction, comply with law, or where it is impracticable to provide the requested service without identifying you.</w:t>
      </w:r>
    </w:p>
    <w:p>
      <w:pPr>
        <w:pStyle w:val="Heading1"/>
      </w:pPr>
      <w:r>
        <w:t>4. Why we collect, use and disclose personal information</w:t>
      </w:r>
    </w:p>
    <w:p>
      <w:r>
        <w:t>We may collect, hold, use and disclose personal information for purposes including:</w:t>
      </w:r>
    </w:p>
    <w:p>
      <w:pPr>
        <w:pStyle w:val="ListBullet"/>
        <w:spacing w:after="40"/>
      </w:pPr>
      <w:r>
        <w:t>providing real estate sales, leasing, property management, rural, lifestyle and commercial services;</w:t>
      </w:r>
    </w:p>
    <w:p>
      <w:pPr>
        <w:pStyle w:val="ListBullet"/>
        <w:spacing w:after="40"/>
      </w:pPr>
      <w:r>
        <w:t>conducting appraisals, marketing campaigns, inspections, negotiations and property transactions;</w:t>
      </w:r>
    </w:p>
    <w:p>
      <w:pPr>
        <w:pStyle w:val="ListBullet"/>
        <w:spacing w:after="40"/>
      </w:pPr>
      <w:r>
        <w:t>assessing and processing tenancy applications and administering tenancies;</w:t>
      </w:r>
    </w:p>
    <w:p>
      <w:pPr>
        <w:pStyle w:val="ListBullet"/>
        <w:spacing w:after="40"/>
      </w:pPr>
      <w:r>
        <w:t>communicating with owners, tenants, vendors, purchasers, prospective clients and service providers;</w:t>
      </w:r>
    </w:p>
    <w:p>
      <w:pPr>
        <w:pStyle w:val="ListBullet"/>
        <w:spacing w:after="40"/>
      </w:pPr>
      <w:r>
        <w:t>arranging maintenance, repairs, compliance work and property access;</w:t>
      </w:r>
    </w:p>
    <w:p>
      <w:pPr>
        <w:pStyle w:val="ListBullet"/>
        <w:spacing w:after="40"/>
      </w:pPr>
      <w:r>
        <w:t>administering leases, trust accounts, rent, deposits, invoices, disbursements and payments;</w:t>
      </w:r>
    </w:p>
    <w:p>
      <w:pPr>
        <w:pStyle w:val="ListBullet"/>
        <w:spacing w:after="40"/>
      </w:pPr>
      <w:r>
        <w:t>verifying identity and reducing fraud, misuse and unlawful activity;</w:t>
      </w:r>
    </w:p>
    <w:p>
      <w:pPr>
        <w:pStyle w:val="ListBullet"/>
        <w:spacing w:after="40"/>
      </w:pPr>
      <w:r>
        <w:t>meeting legal, regulatory, franchise, professional and insurance requirements;</w:t>
      </w:r>
    </w:p>
    <w:p>
      <w:pPr>
        <w:pStyle w:val="ListBullet"/>
        <w:spacing w:after="40"/>
      </w:pPr>
      <w:r>
        <w:t>handling complaints, disputes, tribunal matters and legal proceedings;</w:t>
      </w:r>
    </w:p>
    <w:p>
      <w:pPr>
        <w:pStyle w:val="ListBullet"/>
        <w:spacing w:after="40"/>
      </w:pPr>
      <w:r>
        <w:t>operating, securing and improving our systems and business processes;</w:t>
      </w:r>
    </w:p>
    <w:p>
      <w:pPr>
        <w:pStyle w:val="ListBullet"/>
        <w:spacing w:after="40"/>
      </w:pPr>
      <w:r>
        <w:t>maintaining records, quality assurance and staff training;</w:t>
      </w:r>
    </w:p>
    <w:p>
      <w:pPr>
        <w:pStyle w:val="ListBullet"/>
        <w:spacing w:after="40"/>
      </w:pPr>
      <w:r>
        <w:t>recruitment and employment administration; and</w:t>
      </w:r>
    </w:p>
    <w:p>
      <w:pPr>
        <w:pStyle w:val="ListBullet"/>
        <w:spacing w:after="40"/>
      </w:pPr>
      <w:r>
        <w:t>marketing our services and maintaining client relationships where permitted by law.</w:t>
      </w:r>
    </w:p>
    <w:p>
      <w:pPr>
        <w:pStyle w:val="Heading1"/>
      </w:pPr>
      <w:r>
        <w:t>5. Rental applicants and tenants</w:t>
      </w:r>
    </w:p>
    <w:p>
      <w:r>
        <w:t>For rental applicants and tenants, we may collect information reasonably necessary to assess an application, establish and administer a tenancy, manage rent and bond processes, arrange maintenance and inspections, address breaches or disputes, and communicate with the property owner and relevant service providers.</w:t>
      </w:r>
    </w:p>
    <w:p>
      <w:r>
        <w:t>Where we provide information about an applicant to an owner, we will limit the information to what is reasonably necessary for the tenancy decision or management of the property, subject to legal requirements and our obligations to the applicant.</w:t>
      </w:r>
    </w:p>
    <w:p>
      <w:pPr>
        <w:pStyle w:val="Heading1"/>
      </w:pPr>
      <w:r>
        <w:t>6. Vendors, purchasers and property owners</w:t>
      </w:r>
    </w:p>
    <w:p>
      <w:r>
        <w:t>For vendors, purchasers, prospective purchasers and property owners, we may collect and use information needed to appraise, market, sell, lease or manage property, verify identity, prepare documents, administer transactions, account for money and communicate with professional advisers, contractors and other parties involved in the transaction or management.</w:t>
      </w:r>
    </w:p>
    <w:p>
      <w:pPr>
        <w:pStyle w:val="Heading1"/>
      </w:pPr>
      <w:r>
        <w:t>7. Who we may disclose personal information to</w:t>
      </w:r>
    </w:p>
    <w:p>
      <w:r>
        <w:t>We may disclose personal information to third parties where reasonably necessary for the purposes described in this policy, including:</w:t>
      </w:r>
    </w:p>
    <w:p>
      <w:pPr>
        <w:pStyle w:val="ListBullet"/>
        <w:spacing w:after="40"/>
      </w:pPr>
      <w:r>
        <w:t>property owners, tenants, applicants, vendors, purchasers and prospective purchasers where appropriate;</w:t>
      </w:r>
    </w:p>
    <w:p>
      <w:pPr>
        <w:pStyle w:val="ListBullet"/>
        <w:spacing w:after="40"/>
      </w:pPr>
      <w:r>
        <w:t>Elders Limited or Elders Real Estate network providers where required for franchise systems, marketing, support, referrals or services;</w:t>
      </w:r>
    </w:p>
    <w:p>
      <w:pPr>
        <w:pStyle w:val="ListBullet"/>
        <w:spacing w:after="40"/>
      </w:pPr>
      <w:r>
        <w:t>solicitors, conveyancers, accountants, valuers, insurers, building and pest inspectors and other professional advisers;</w:t>
      </w:r>
    </w:p>
    <w:p>
      <w:pPr>
        <w:pStyle w:val="ListBullet"/>
        <w:spacing w:after="40"/>
      </w:pPr>
      <w:r>
        <w:t>contractors, tradespeople, utility or service providers and maintenance providers;</w:t>
      </w:r>
    </w:p>
    <w:p>
      <w:pPr>
        <w:pStyle w:val="ListBullet"/>
        <w:spacing w:after="40"/>
      </w:pPr>
      <w:r>
        <w:t>government agencies, courts, tribunals, law enforcement and regulators where required or authorised by law;</w:t>
      </w:r>
    </w:p>
    <w:p>
      <w:pPr>
        <w:pStyle w:val="ListBullet"/>
        <w:spacing w:after="40"/>
      </w:pPr>
      <w:r>
        <w:t>property portals, advertising providers and marketing service providers;</w:t>
      </w:r>
    </w:p>
    <w:p>
      <w:pPr>
        <w:pStyle w:val="ListBullet"/>
        <w:spacing w:after="40"/>
      </w:pPr>
      <w:r>
        <w:t>identity verification, document execution and digital signing providers; and</w:t>
      </w:r>
    </w:p>
    <w:p>
      <w:pPr>
        <w:pStyle w:val="ListBullet"/>
        <w:spacing w:after="40"/>
      </w:pPr>
      <w:r>
        <w:t>technology, cloud, communications, CRM, property management, document and IT support providers.</w:t>
      </w:r>
    </w:p>
    <w:p>
      <w:r>
        <w:t>Our current key business systems include PropertyMe, Agentbox Sales CRM, Microsoft Outlook/Microsoft 365, Google/Gmail, REIQ Realworks and Livesign. We may change service providers from time to time as our business systems evolve.</w:t>
      </w:r>
    </w:p>
    <w:p>
      <w:pPr>
        <w:pStyle w:val="Heading1"/>
      </w:pPr>
      <w:r>
        <w:t>8. Overseas disclosures and cloud services</w:t>
      </w:r>
    </w:p>
    <w:p>
      <w:r>
        <w:t>Some of our technology and service providers use overseas infrastructure, related entities, contractors or subprocessors. As a result, personal information may be disclosed to, or accessed by, overseas recipients. Based on our current key systems, likely overseas locations include the United States of America and the United Kingdom. Some global cloud services may also process information in other jurisdictions.</w:t>
      </w:r>
    </w:p>
    <w:p>
      <w:r>
        <w:t>Where practicable, we maintain a current vendor and overseas-disclosure register and will provide further information on request. We take reasonable steps required by applicable privacy law before disclosing personal information overseas. Service-provider locations can change, and this policy may be updated when material changes occur.</w:t>
      </w:r>
    </w:p>
    <w:p>
      <w:pPr>
        <w:pStyle w:val="Heading1"/>
      </w:pPr>
      <w:r>
        <w:t>9. Direct marketing</w:t>
      </w:r>
    </w:p>
    <w:p>
      <w:r>
        <w:t>Where permitted by law, we may use personal information to send property information, market updates, appraisal invitations and information about our services. You may opt out of direct marketing at any time by using an unsubscribe facility or contacting us. We will not charge you for making an opt-out request.</w:t>
      </w:r>
    </w:p>
    <w:p>
      <w:pPr>
        <w:pStyle w:val="Heading1"/>
      </w:pPr>
      <w:r>
        <w:t>10. Websites, cookies and digital services</w:t>
      </w:r>
    </w:p>
    <w:p>
      <w:r>
        <w:t>Our websites and digital services may use cookies, analytics and similar technologies to understand use, improve functionality, measure marketing activity and help provide relevant content. Depending on the service, technical information such as IP address, browser type, device information, pages viewed and interaction data may be collected. Third-party websites and platforms have their own privacy practices.</w:t>
      </w:r>
    </w:p>
    <w:p>
      <w:pPr>
        <w:pStyle w:val="Heading1"/>
      </w:pPr>
      <w:r>
        <w:t>11. Security and retention</w:t>
      </w:r>
    </w:p>
    <w:p>
      <w:r>
        <w:t>We take reasonable technical and organisational steps to protect personal information from misuse, interference, loss, and unauthorised access, modification or disclosure. Measures may include access controls, passwords, multi-factor authentication where available, secure cloud systems, staff procedures, device security, backups, audit logs and restrictions on access according to role and business need.</w:t>
      </w:r>
    </w:p>
    <w:p>
      <w:r>
        <w:t>We retain personal information only for as long as it is needed for our functions, legal obligations, dispute management, professional requirements or other lawful purposes. When information is no longer needed, we take reasonable steps to destroy it or de-identify it, subject to legal retention requirements and practical limitations of backup and archival systems.</w:t>
      </w:r>
    </w:p>
    <w:p>
      <w:pPr>
        <w:pStyle w:val="Heading1"/>
      </w:pPr>
      <w:r>
        <w:t>12. Data breaches</w:t>
      </w:r>
    </w:p>
    <w:p>
      <w:r>
        <w:t>We maintain procedures for responding to suspected or actual data breaches. We will contain and assess incidents promptly and, where the Notifiable Data Breaches scheme applies and a breach is likely to result in serious harm, we will make the notifications required by law.</w:t>
      </w:r>
    </w:p>
    <w:p>
      <w:pPr>
        <w:pStyle w:val="Heading1"/>
      </w:pPr>
      <w:r>
        <w:t>13. Access and correction</w:t>
      </w:r>
    </w:p>
    <w:p>
      <w:r>
        <w:t>You may request access to personal information we hold about you or ask us to correct information that is inaccurate, out of date, incomplete, irrelevant or misleading. We may need to verify your identity before actioning a request. We will respond within a reasonable period and may refuse or limit access where permitted by law. Where required, we will explain the reason and available complaint options.</w:t>
      </w:r>
    </w:p>
    <w:p>
      <w:pPr>
        <w:pStyle w:val="Heading1"/>
      </w:pPr>
      <w:r>
        <w:t>14. Privacy complaints</w:t>
      </w:r>
    </w:p>
    <w:p>
      <w:r>
        <w:t>If you have a privacy concern or complaint, contact our Privacy Officer using the details below. We will acknowledge the complaint, investigate it and aim to provide a response within a reasonable period. If you are not satisfied with our response, you may be able to complain to the Office of the Australian Information Commissioner (OAIC).</w:t>
      </w:r>
    </w:p>
    <w:p>
      <w:pPr>
        <w:pStyle w:val="Heading1"/>
      </w:pPr>
      <w:r>
        <w:t>15. Automated decision-making and artificial intelligence</w:t>
      </w:r>
    </w:p>
    <w:p>
      <w:r>
        <w:t>We may use software, automation or artificial intelligence to assist with administrative tasks, communications, document processing, data analysis, workflow prioritisation and other business functions. We do not intend to rely solely on automated systems for significant decisions affecting an individual where human consideration is appropriate or required.</w:t>
      </w:r>
    </w:p>
    <w:p>
      <w:r>
        <w:t>From 10 December 2026, additional Privacy Act transparency requirements apply to APP entities that use personal information in certain automated decisions that could reasonably be expected to significantly affect an individual's rights or interests. We will review our systems and this policy before that date and update this section if our use of automated decision-making falls within those requirements.</w:t>
      </w:r>
    </w:p>
    <w:p>
      <w:pPr>
        <w:pStyle w:val="Heading1"/>
      </w:pPr>
      <w:r>
        <w:t>16. Privacy Officer</w:t>
      </w:r>
    </w:p>
    <w:tbl>
      <w:tblPr>
        <w:tblW w:type="auto" w:w="0"/>
        <w:jc w:val="center"/>
        <w:tblLayout w:type="autofit"/>
        <w:tblLook w:firstColumn="1" w:firstRow="1" w:lastColumn="0" w:lastRow="0" w:noHBand="0" w:noVBand="1" w:val="04A0"/>
      </w:tblPr>
      <w:tblGrid>
        <w:gridCol w:w="2448"/>
        <w:gridCol w:w="8064"/>
      </w:tblGrid>
      <w:tr>
        <w:tc>
          <w:tcPr>
            <w:tcW w:type="dxa" w:w="2448"/>
            <w:shd w:fill="D71920"/>
            <w:tcMar>
              <w:top w:w="100" w:type="dxa"/>
              <w:start w:w="120" w:type="dxa"/>
              <w:bottom w:w="100" w:type="dxa"/>
              <w:end w:w="120" w:type="dxa"/>
            </w:tcMar>
            <w:vAlign w:val="center"/>
          </w:tcPr>
          <w:p>
            <w:pPr>
              <w:spacing w:after="0" w:line="252" w:lineRule="auto"/>
            </w:pPr>
            <w:r>
              <w:rPr>
                <w:rFonts w:ascii="Arial" w:hAnsi="Arial"/>
                <w:b/>
                <w:color w:val="FFFFFF"/>
                <w:sz w:val="18"/>
              </w:rPr>
              <w:t>Privacy Officer</w:t>
            </w:r>
          </w:p>
        </w:tc>
        <w:tc>
          <w:tcPr>
            <w:tcW w:type="dxa" w:w="8064"/>
            <w:tcMar>
              <w:top w:w="100" w:type="dxa"/>
              <w:start w:w="120" w:type="dxa"/>
              <w:bottom w:w="100" w:type="dxa"/>
              <w:end w:w="120" w:type="dxa"/>
            </w:tcMar>
            <w:vAlign w:val="center"/>
          </w:tcPr>
          <w:p>
            <w:pPr>
              <w:spacing w:after="0" w:line="252" w:lineRule="auto"/>
            </w:pPr>
            <w:r>
              <w:rPr>
                <w:rFonts w:ascii="Arial" w:hAnsi="Arial"/>
                <w:color w:val="222222"/>
                <w:sz w:val="18"/>
              </w:rPr>
              <w:t>Hub Real Estate Pty Ltd t/a Elders Real Estate Chinchilla, Miles &amp; Roma</w:t>
            </w:r>
          </w:p>
        </w:tc>
      </w:tr>
      <w:tr>
        <w:tc>
          <w:tcPr>
            <w:tcW w:type="dxa" w:w="2448"/>
            <w:shd w:fill="D71920"/>
            <w:tcMar>
              <w:top w:w="100" w:type="dxa"/>
              <w:start w:w="120" w:type="dxa"/>
              <w:bottom w:w="100" w:type="dxa"/>
              <w:end w:w="120" w:type="dxa"/>
            </w:tcMar>
            <w:vAlign w:val="center"/>
          </w:tcPr>
          <w:p>
            <w:pPr>
              <w:spacing w:after="0" w:line="252" w:lineRule="auto"/>
            </w:pPr>
            <w:r>
              <w:rPr>
                <w:rFonts w:ascii="Arial" w:hAnsi="Arial"/>
                <w:b/>
                <w:color w:val="FFFFFF"/>
                <w:sz w:val="18"/>
              </w:rPr>
              <w:t>Address</w:t>
            </w:r>
          </w:p>
        </w:tc>
        <w:tc>
          <w:tcPr>
            <w:tcW w:type="dxa" w:w="8064"/>
            <w:tcMar>
              <w:top w:w="100" w:type="dxa"/>
              <w:start w:w="120" w:type="dxa"/>
              <w:bottom w:w="100" w:type="dxa"/>
              <w:end w:w="120" w:type="dxa"/>
            </w:tcMar>
            <w:vAlign w:val="center"/>
            <w:shd w:fill="F3F3F3"/>
          </w:tcPr>
          <w:p>
            <w:pPr>
              <w:spacing w:after="0" w:line="252" w:lineRule="auto"/>
            </w:pPr>
            <w:r>
              <w:rPr>
                <w:rFonts w:ascii="Arial" w:hAnsi="Arial"/>
                <w:color w:val="222222"/>
                <w:sz w:val="18"/>
              </w:rPr>
              <w:t>Chinchilla: 69 Heeney Street, Chinchilla QLD 4413 | 07 4669 1966</w:t>
              <w:br/>
              <w:t>Miles: 105 Murilla Street, Miles QLD 4415 | 07 4627 2217</w:t>
              <w:br/>
              <w:t>Roma: 91 McDowall Street, Roma QLD 4455 | 07 4622 2688</w:t>
            </w:r>
          </w:p>
        </w:tc>
      </w:tr>
      <w:tr>
        <w:tc>
          <w:tcPr>
            <w:tcW w:type="dxa" w:w="2448"/>
            <w:shd w:fill="D71920"/>
            <w:tcMar>
              <w:top w:w="100" w:type="dxa"/>
              <w:start w:w="120" w:type="dxa"/>
              <w:bottom w:w="100" w:type="dxa"/>
              <w:end w:w="120" w:type="dxa"/>
            </w:tcMar>
            <w:vAlign w:val="center"/>
          </w:tcPr>
          <w:p>
            <w:pPr>
              <w:spacing w:after="0" w:line="252" w:lineRule="auto"/>
            </w:pPr>
            <w:r>
              <w:rPr>
                <w:rFonts w:ascii="Arial" w:hAnsi="Arial"/>
                <w:b/>
                <w:color w:val="FFFFFF"/>
                <w:sz w:val="18"/>
              </w:rPr>
              <w:t>Email</w:t>
            </w:r>
          </w:p>
        </w:tc>
        <w:tc>
          <w:tcPr>
            <w:tcW w:type="dxa" w:w="8064"/>
            <w:tcMar>
              <w:top w:w="100" w:type="dxa"/>
              <w:start w:w="120" w:type="dxa"/>
              <w:bottom w:w="100" w:type="dxa"/>
              <w:end w:w="120" w:type="dxa"/>
            </w:tcMar>
            <w:vAlign w:val="center"/>
          </w:tcPr>
          <w:p>
            <w:pPr>
              <w:spacing w:after="0" w:line="252" w:lineRule="auto"/>
            </w:pPr>
            <w:r>
              <w:rPr>
                <w:rFonts w:ascii="Arial" w:hAnsi="Arial"/>
                <w:color w:val="222222"/>
                <w:sz w:val="18"/>
              </w:rPr>
              <w:t>jon.kingston@eldersrealestate.com.au</w:t>
            </w:r>
          </w:p>
        </w:tc>
      </w:tr>
    </w:tbl>
    <w:p/>
    <w:p>
      <w:pPr>
        <w:pStyle w:val="Heading1"/>
      </w:pPr>
      <w:r>
        <w:t>17. Changes to this policy</w:t>
      </w:r>
    </w:p>
    <w:p>
      <w:r>
        <w:t>We may update this policy to reflect changes to law, technology, service providers or our business practices. The current version will be made available through our website and can also be requested from our office.</w:t>
      </w:r>
    </w:p>
    <w:sectPr w:rsidR="00FC693F" w:rsidRPr="0006063C" w:rsidSect="00034616">
      <w:footerReference w:type="default" r:id="rId9"/>
      <w:headerReference w:type="default" r:id="rId10"/>
      <w:pgSz w:w="12240" w:h="15840"/>
      <w:pgMar w:top="1247" w:right="1247" w:bottom="1077" w:left="1247"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666666"/>
        <w:sz w:val="15"/>
      </w:rPr>
      <w:t>Hub Real Estate Pty Ltd | ABN 50 143 254 522 | Elders Real Estate Chinchilla, Miles &amp; Roma</w:t>
      <w:br/>
    </w:r>
    <w:r>
      <w:rPr>
        <w:rFonts w:ascii="Arial" w:hAnsi="Arial"/>
        <w:b/>
        <w:color w:val="D71920"/>
        <w:sz w:val="15"/>
      </w:rPr>
      <w:t>Chinchilla | Miles | Roma</w:t>
    </w:r>
  </w:p>
  <w:p>
    <w:pPr>
      <w:jc w:val="right"/>
    </w:pPr>
    <w:r>
      <w:rPr>
        <w:sz w:val="16"/>
      </w:rPr>
      <w:t xml:space="preserve">Page </w:t>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8787" w:val="left"/>
      </w:tabs>
      <w:jc w:val="left"/>
      <w:pBdr>
        <w:bottom w:val="single" w:sz="16" w:space="5" w:color="D71920"/>
      </w:pBdr>
    </w:pPr>
    <w:r>
      <w:rPr>
        <w:rFonts w:ascii="Arial" w:hAnsi="Arial"/>
        <w:b/>
        <w:color w:val="D71920"/>
        <w:sz w:val="40"/>
      </w:rPr>
      <w:t>elders</w:t>
    </w:r>
    <w:r>
      <w:rPr>
        <w:rFonts w:ascii="Arial" w:hAnsi="Arial"/>
        <w:b/>
        <w:color w:val="222222"/>
        <w:sz w:val="17"/>
      </w:rPr>
      <w:t xml:space="preserve">  REAL ESTATE</w:t>
    </w:r>
    <w:r>
      <w:rPr>
        <w:rFonts w:ascii="Arial" w:hAnsi="Arial"/>
        <w:color w:val="666666"/>
        <w:sz w:val="17"/>
      </w:rPr>
      <w:tab/>
      <w:t>PRIVACY POLICY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Arial" w:hAnsi="Arial"/>
      <w:color w:val="222222"/>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60" w:after="100"/>
      <w:outlineLvl w:val="0"/>
    </w:pPr>
    <w:rPr>
      <w:rFonts w:asciiTheme="majorHAnsi" w:eastAsiaTheme="majorEastAsia" w:hAnsiTheme="majorHAnsi" w:cstheme="majorBidi" w:ascii="Arial" w:hAnsi="Arial"/>
      <w:b/>
      <w:bCs/>
      <w:color w:val="D71920"/>
      <w:sz w:val="30"/>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ascii="Arial" w:hAnsi="Arial"/>
      <w:b/>
      <w:bCs/>
      <w:color w:val="D71920"/>
      <w:sz w:val="24"/>
      <w:szCs w:val="26"/>
    </w:rPr>
  </w:style>
  <w:style w:type="paragraph" w:styleId="Heading3">
    <w:name w:val="heading 3"/>
    <w:basedOn w:val="Normal"/>
    <w:next w:val="Normal"/>
    <w:link w:val="Heading3Char"/>
    <w:uiPriority w:val="9"/>
    <w:unhideWhenUsed/>
    <w:qFormat/>
    <w:rsid w:val="00FC693F"/>
    <w:pPr>
      <w:keepNext/>
      <w:keepLines/>
      <w:spacing w:before="140" w:after="60"/>
      <w:outlineLvl w:val="2"/>
    </w:pPr>
    <w:rPr>
      <w:rFonts w:asciiTheme="majorHAnsi" w:eastAsiaTheme="majorEastAsia" w:hAnsiTheme="majorHAnsi" w:cstheme="majorBidi" w:ascii="Arial" w:hAnsi="Arial"/>
      <w:b/>
      <w:bCs/>
      <w:color w:val="D71920"/>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6F482A"/>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